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851"/>
        <w:gridCol w:w="3629"/>
        <w:gridCol w:w="3966"/>
      </w:tblGrid>
      <w:tr w:rsidR="00316C88" w:rsidRPr="00DE02DB" w14:paraId="3F3CF6B6" w14:textId="77777777" w:rsidTr="00D41426">
        <w:tc>
          <w:tcPr>
            <w:tcW w:w="2851" w:type="dxa"/>
          </w:tcPr>
          <w:p w14:paraId="4B7B2838" w14:textId="77777777" w:rsidR="00316C88" w:rsidRPr="00DE02DB" w:rsidRDefault="00316C88" w:rsidP="00316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b/>
                <w:sz w:val="20"/>
                <w:szCs w:val="20"/>
              </w:rPr>
              <w:t>Type of Inspection</w:t>
            </w:r>
          </w:p>
        </w:tc>
        <w:tc>
          <w:tcPr>
            <w:tcW w:w="3629" w:type="dxa"/>
          </w:tcPr>
          <w:p w14:paraId="4EC2C37C" w14:textId="77777777" w:rsidR="00316C88" w:rsidRPr="00DE02DB" w:rsidRDefault="00316C88" w:rsidP="00316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b/>
                <w:sz w:val="20"/>
                <w:szCs w:val="20"/>
              </w:rPr>
              <w:t>Frequency</w:t>
            </w:r>
          </w:p>
        </w:tc>
        <w:tc>
          <w:tcPr>
            <w:tcW w:w="3600" w:type="dxa"/>
          </w:tcPr>
          <w:p w14:paraId="20D24F67" w14:textId="77777777" w:rsidR="00316C88" w:rsidRPr="00DE02DB" w:rsidRDefault="00316C88" w:rsidP="00316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b/>
                <w:sz w:val="20"/>
                <w:szCs w:val="20"/>
              </w:rPr>
              <w:t>Regulation</w:t>
            </w:r>
          </w:p>
        </w:tc>
      </w:tr>
      <w:tr w:rsidR="00EF21D0" w:rsidRPr="00DE02DB" w14:paraId="0822D716" w14:textId="77777777" w:rsidTr="00D41426">
        <w:tc>
          <w:tcPr>
            <w:tcW w:w="2851" w:type="dxa"/>
          </w:tcPr>
          <w:p w14:paraId="4EA94925" w14:textId="69E06C09" w:rsidR="00EF21D0" w:rsidRPr="00DE02DB" w:rsidRDefault="0056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Abrasive Wheel/Grinder</w:t>
            </w:r>
          </w:p>
        </w:tc>
        <w:tc>
          <w:tcPr>
            <w:tcW w:w="3629" w:type="dxa"/>
          </w:tcPr>
          <w:p w14:paraId="4F67F418" w14:textId="65373EEC" w:rsidR="00EF21D0" w:rsidRPr="005438D6" w:rsidRDefault="00561AC4" w:rsidP="005438D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61AC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Inspection. Immediately before mounting, all wheels shall be closely inspected and sounded by the user (ring test) to make sure they have not been damaged in transit, storage, or otherwise</w:t>
            </w:r>
            <w:r w:rsidR="00D576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/Pre-Use</w:t>
            </w:r>
          </w:p>
        </w:tc>
        <w:tc>
          <w:tcPr>
            <w:tcW w:w="3600" w:type="dxa"/>
          </w:tcPr>
          <w:p w14:paraId="620C2CE2" w14:textId="59360F96" w:rsidR="00EF21D0" w:rsidRPr="00DE02DB" w:rsidRDefault="0056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438D6">
              <w:rPr>
                <w:rFonts w:ascii="Times New Roman" w:hAnsi="Times New Roman" w:cs="Times New Roman"/>
                <w:sz w:val="20"/>
                <w:szCs w:val="20"/>
              </w:rPr>
              <w:t>10.215(d)(1)</w:t>
            </w:r>
          </w:p>
        </w:tc>
      </w:tr>
      <w:tr w:rsidR="00316C88" w:rsidRPr="00DE02DB" w14:paraId="395E8D47" w14:textId="77777777" w:rsidTr="00D41426">
        <w:tc>
          <w:tcPr>
            <w:tcW w:w="2851" w:type="dxa"/>
          </w:tcPr>
          <w:p w14:paraId="20D18B39" w14:textId="77777777" w:rsidR="00316C88" w:rsidRPr="00DE02DB" w:rsidRDefault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AED Units</w:t>
            </w:r>
          </w:p>
        </w:tc>
        <w:tc>
          <w:tcPr>
            <w:tcW w:w="3629" w:type="dxa"/>
          </w:tcPr>
          <w:p w14:paraId="21D6BACA" w14:textId="77777777" w:rsidR="00316C88" w:rsidRPr="00DE02DB" w:rsidRDefault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Monthly/Annual</w:t>
            </w:r>
          </w:p>
        </w:tc>
        <w:tc>
          <w:tcPr>
            <w:tcW w:w="3600" w:type="dxa"/>
          </w:tcPr>
          <w:p w14:paraId="45C889E2" w14:textId="77777777" w:rsidR="00316C88" w:rsidRPr="00DE02DB" w:rsidRDefault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Manufacturer Specifications</w:t>
            </w:r>
          </w:p>
        </w:tc>
      </w:tr>
      <w:tr w:rsidR="00316C88" w:rsidRPr="00DE02DB" w14:paraId="4E578CD6" w14:textId="77777777" w:rsidTr="00D41426">
        <w:tc>
          <w:tcPr>
            <w:tcW w:w="2851" w:type="dxa"/>
          </w:tcPr>
          <w:p w14:paraId="7B5E9F07" w14:textId="7BCD2FD4" w:rsidR="00316C88" w:rsidRPr="00DE02DB" w:rsidRDefault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Aerial</w:t>
            </w:r>
            <w:r w:rsidR="00B20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Lifts</w:t>
            </w:r>
          </w:p>
        </w:tc>
        <w:tc>
          <w:tcPr>
            <w:tcW w:w="3629" w:type="dxa"/>
          </w:tcPr>
          <w:p w14:paraId="7807BF42" w14:textId="77777777" w:rsidR="00316C88" w:rsidRPr="00DE02DB" w:rsidRDefault="0000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Before Each Use</w:t>
            </w:r>
          </w:p>
        </w:tc>
        <w:tc>
          <w:tcPr>
            <w:tcW w:w="3600" w:type="dxa"/>
          </w:tcPr>
          <w:p w14:paraId="5C414095" w14:textId="51B6A264" w:rsidR="00316C88" w:rsidRPr="00DE02DB" w:rsidRDefault="0000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1910.67(c)(2)(</w:t>
            </w:r>
            <w:proofErr w:type="spellStart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414C9">
              <w:rPr>
                <w:rFonts w:ascii="Times New Roman" w:hAnsi="Times New Roman" w:cs="Times New Roman"/>
                <w:sz w:val="20"/>
                <w:szCs w:val="20"/>
              </w:rPr>
              <w:t>/ANSI</w:t>
            </w:r>
            <w:r w:rsidR="004F61F4">
              <w:rPr>
                <w:rFonts w:ascii="Times New Roman" w:hAnsi="Times New Roman" w:cs="Times New Roman"/>
                <w:sz w:val="20"/>
                <w:szCs w:val="20"/>
              </w:rPr>
              <w:t>/SIA 926-1999</w:t>
            </w:r>
          </w:p>
        </w:tc>
      </w:tr>
      <w:tr w:rsidR="00316C88" w:rsidRPr="00DE02DB" w14:paraId="68CE7A31" w14:textId="77777777" w:rsidTr="00D41426">
        <w:tc>
          <w:tcPr>
            <w:tcW w:w="2851" w:type="dxa"/>
          </w:tcPr>
          <w:p w14:paraId="0FC2DF7D" w14:textId="77777777" w:rsidR="00316C88" w:rsidRPr="00DE02DB" w:rsidRDefault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Air Monitoring Equipment</w:t>
            </w:r>
          </w:p>
        </w:tc>
        <w:tc>
          <w:tcPr>
            <w:tcW w:w="3629" w:type="dxa"/>
          </w:tcPr>
          <w:p w14:paraId="4204678C" w14:textId="77777777" w:rsidR="00316C88" w:rsidRPr="00DE02DB" w:rsidRDefault="0000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Daily/Monthly</w:t>
            </w:r>
          </w:p>
        </w:tc>
        <w:tc>
          <w:tcPr>
            <w:tcW w:w="3600" w:type="dxa"/>
          </w:tcPr>
          <w:p w14:paraId="3E0534FC" w14:textId="77777777" w:rsidR="00316C88" w:rsidRPr="00DE02DB" w:rsidRDefault="0000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Manufacturer Specifications</w:t>
            </w:r>
          </w:p>
        </w:tc>
      </w:tr>
      <w:tr w:rsidR="00316C88" w:rsidRPr="00DE02DB" w14:paraId="708A0219" w14:textId="77777777" w:rsidTr="00D41426">
        <w:tc>
          <w:tcPr>
            <w:tcW w:w="2851" w:type="dxa"/>
          </w:tcPr>
          <w:p w14:paraId="5432910D" w14:textId="77777777" w:rsidR="00316C88" w:rsidRPr="00DE02DB" w:rsidRDefault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Air Receivers</w:t>
            </w:r>
          </w:p>
        </w:tc>
        <w:tc>
          <w:tcPr>
            <w:tcW w:w="3629" w:type="dxa"/>
          </w:tcPr>
          <w:p w14:paraId="32F3851A" w14:textId="77777777" w:rsidR="00316C88" w:rsidRPr="00DE02DB" w:rsidRDefault="0000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Daily (water) Monthly(pressure)</w:t>
            </w:r>
          </w:p>
        </w:tc>
        <w:tc>
          <w:tcPr>
            <w:tcW w:w="3600" w:type="dxa"/>
          </w:tcPr>
          <w:p w14:paraId="43460711" w14:textId="77777777" w:rsidR="00316C88" w:rsidRPr="00DE02DB" w:rsidRDefault="0000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1910.169(2) &amp; 169 (3)(iv)</w:t>
            </w:r>
          </w:p>
        </w:tc>
      </w:tr>
      <w:tr w:rsidR="00316C88" w:rsidRPr="00DE02DB" w14:paraId="533BF3CB" w14:textId="77777777" w:rsidTr="00D41426">
        <w:tc>
          <w:tcPr>
            <w:tcW w:w="2851" w:type="dxa"/>
          </w:tcPr>
          <w:p w14:paraId="797F5AA3" w14:textId="77777777" w:rsidR="00316C88" w:rsidRPr="00DE02DB" w:rsidRDefault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Alloy Steel Chain Slings</w:t>
            </w:r>
          </w:p>
        </w:tc>
        <w:tc>
          <w:tcPr>
            <w:tcW w:w="3629" w:type="dxa"/>
          </w:tcPr>
          <w:p w14:paraId="25C50C3D" w14:textId="77777777" w:rsidR="00316C88" w:rsidRPr="00DE02DB" w:rsidRDefault="0000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Before Each Use</w:t>
            </w:r>
          </w:p>
          <w:p w14:paraId="13733EBA" w14:textId="77777777" w:rsidR="00007B78" w:rsidRPr="00DE02DB" w:rsidRDefault="0000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Annual by Qualified Person</w:t>
            </w:r>
          </w:p>
        </w:tc>
        <w:tc>
          <w:tcPr>
            <w:tcW w:w="3600" w:type="dxa"/>
          </w:tcPr>
          <w:p w14:paraId="473A32BF" w14:textId="77777777" w:rsidR="00007B78" w:rsidRPr="00DE02DB" w:rsidRDefault="0000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1910.84(d)</w:t>
            </w:r>
          </w:p>
          <w:p w14:paraId="1EB9A6AD" w14:textId="77777777" w:rsidR="00316C88" w:rsidRPr="00DE02DB" w:rsidRDefault="00007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1910.184(e)(3)(iii)</w:t>
            </w:r>
          </w:p>
        </w:tc>
      </w:tr>
      <w:tr w:rsidR="00316C88" w:rsidRPr="00DE02DB" w14:paraId="50E2AF65" w14:textId="77777777" w:rsidTr="00D41426">
        <w:tc>
          <w:tcPr>
            <w:tcW w:w="2851" w:type="dxa"/>
          </w:tcPr>
          <w:p w14:paraId="3E048E62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Automotive Brake/Clutch Assembly</w:t>
            </w:r>
          </w:p>
        </w:tc>
        <w:tc>
          <w:tcPr>
            <w:tcW w:w="3629" w:type="dxa"/>
          </w:tcPr>
          <w:p w14:paraId="4FD7250F" w14:textId="77777777" w:rsidR="00316C88" w:rsidRPr="00DE02DB" w:rsidRDefault="00007B7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 xml:space="preserve">During every inspection, disassembly, repair &amp; </w:t>
            </w:r>
            <w:r w:rsidR="00DE02DB">
              <w:rPr>
                <w:rFonts w:ascii="Times New Roman" w:hAnsi="Times New Roman" w:cs="Times New Roman"/>
                <w:sz w:val="20"/>
                <w:szCs w:val="20"/>
              </w:rPr>
              <w:t>assembly</w:t>
            </w:r>
          </w:p>
        </w:tc>
        <w:tc>
          <w:tcPr>
            <w:tcW w:w="3600" w:type="dxa"/>
          </w:tcPr>
          <w:p w14:paraId="0BB59A07" w14:textId="77777777" w:rsidR="00316C88" w:rsidRPr="00DE02DB" w:rsidRDefault="00007B7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1910.1001, Appendix F</w:t>
            </w:r>
          </w:p>
        </w:tc>
      </w:tr>
      <w:tr w:rsidR="00316C88" w:rsidRPr="00DE02DB" w14:paraId="322A35DE" w14:textId="77777777" w:rsidTr="00D41426">
        <w:tc>
          <w:tcPr>
            <w:tcW w:w="2851" w:type="dxa"/>
          </w:tcPr>
          <w:p w14:paraId="236FA004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Boilers</w:t>
            </w:r>
          </w:p>
        </w:tc>
        <w:tc>
          <w:tcPr>
            <w:tcW w:w="3629" w:type="dxa"/>
          </w:tcPr>
          <w:p w14:paraId="0C5A89A1" w14:textId="77777777" w:rsidR="00316C88" w:rsidRPr="00DE02DB" w:rsidRDefault="00007B7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Annual</w:t>
            </w:r>
          </w:p>
        </w:tc>
        <w:tc>
          <w:tcPr>
            <w:tcW w:w="3600" w:type="dxa"/>
          </w:tcPr>
          <w:p w14:paraId="085EA69B" w14:textId="77777777" w:rsidR="00316C88" w:rsidRPr="00DE02DB" w:rsidRDefault="00007B7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ASME CSD-1-1998</w:t>
            </w:r>
          </w:p>
        </w:tc>
      </w:tr>
      <w:tr w:rsidR="00316C88" w:rsidRPr="00DE02DB" w14:paraId="3CDA86A5" w14:textId="77777777" w:rsidTr="00D41426">
        <w:tc>
          <w:tcPr>
            <w:tcW w:w="2851" w:type="dxa"/>
          </w:tcPr>
          <w:p w14:paraId="186149E9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Compressed Air Equipment</w:t>
            </w:r>
          </w:p>
        </w:tc>
        <w:tc>
          <w:tcPr>
            <w:tcW w:w="3629" w:type="dxa"/>
          </w:tcPr>
          <w:p w14:paraId="675D3553" w14:textId="77777777" w:rsidR="00316C88" w:rsidRPr="00DE02DB" w:rsidRDefault="00007B7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Drains &amp; Traps (Frequently)</w:t>
            </w:r>
          </w:p>
        </w:tc>
        <w:tc>
          <w:tcPr>
            <w:tcW w:w="3600" w:type="dxa"/>
          </w:tcPr>
          <w:p w14:paraId="7DD3AE81" w14:textId="77777777" w:rsidR="00316C88" w:rsidRPr="00DE02DB" w:rsidRDefault="00007B7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1910.169(b)(2)</w:t>
            </w:r>
          </w:p>
        </w:tc>
      </w:tr>
      <w:tr w:rsidR="00316C88" w:rsidRPr="00DE02DB" w14:paraId="38420BCF" w14:textId="77777777" w:rsidTr="00D41426">
        <w:tc>
          <w:tcPr>
            <w:tcW w:w="2851" w:type="dxa"/>
          </w:tcPr>
          <w:p w14:paraId="266C447B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Compressed Air and Gas Equip.</w:t>
            </w:r>
          </w:p>
        </w:tc>
        <w:tc>
          <w:tcPr>
            <w:tcW w:w="3629" w:type="dxa"/>
          </w:tcPr>
          <w:p w14:paraId="228BE2AD" w14:textId="77777777" w:rsidR="00316C88" w:rsidRPr="00DE02DB" w:rsidRDefault="00007B7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Gages/Valves (Frequent &amp; Regular</w:t>
            </w:r>
          </w:p>
        </w:tc>
        <w:tc>
          <w:tcPr>
            <w:tcW w:w="3600" w:type="dxa"/>
          </w:tcPr>
          <w:p w14:paraId="6B83BEF7" w14:textId="77777777" w:rsidR="00316C88" w:rsidRPr="00DE02DB" w:rsidRDefault="00007B7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1910.169(b)(3)(iv)</w:t>
            </w:r>
          </w:p>
        </w:tc>
      </w:tr>
      <w:tr w:rsidR="00316C88" w:rsidRPr="00DE02DB" w14:paraId="63529C0B" w14:textId="77777777" w:rsidTr="00D41426">
        <w:tc>
          <w:tcPr>
            <w:tcW w:w="2851" w:type="dxa"/>
          </w:tcPr>
          <w:p w14:paraId="58CBC443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Cranes</w:t>
            </w:r>
          </w:p>
        </w:tc>
        <w:tc>
          <w:tcPr>
            <w:tcW w:w="3629" w:type="dxa"/>
          </w:tcPr>
          <w:p w14:paraId="1C3523CC" w14:textId="3054F070" w:rsidR="00316C88" w:rsidRPr="00DE02DB" w:rsidRDefault="00B26A25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Before Placed into </w:t>
            </w:r>
            <w:r w:rsidR="00B12ABE">
              <w:rPr>
                <w:rFonts w:ascii="Times New Roman" w:hAnsi="Times New Roman" w:cs="Times New Roman"/>
                <w:sz w:val="20"/>
                <w:szCs w:val="20"/>
              </w:rPr>
              <w:t>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/Pre-Use</w:t>
            </w:r>
            <w:r w:rsidR="004D043E">
              <w:rPr>
                <w:rFonts w:ascii="Times New Roman" w:hAnsi="Times New Roman" w:cs="Times New Roman"/>
                <w:sz w:val="20"/>
                <w:szCs w:val="20"/>
              </w:rPr>
              <w:t>/Annual</w:t>
            </w:r>
          </w:p>
        </w:tc>
        <w:tc>
          <w:tcPr>
            <w:tcW w:w="3600" w:type="dxa"/>
          </w:tcPr>
          <w:p w14:paraId="3DAAFA56" w14:textId="25251445" w:rsidR="00316C88" w:rsidRPr="00DE02DB" w:rsidRDefault="0016265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1910.179(j</w:t>
            </w:r>
            <w:proofErr w:type="gramStart"/>
            <w:r w:rsidR="00007B78" w:rsidRPr="00DE02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007B78" w:rsidRPr="00DE02DB">
              <w:rPr>
                <w:rFonts w:ascii="Times New Roman" w:hAnsi="Times New Roman" w:cs="Times New Roman"/>
                <w:sz w:val="20"/>
                <w:szCs w:val="20"/>
              </w:rPr>
              <w:t>1&amp;2)</w:t>
            </w:r>
            <w:r w:rsidR="004F61F4">
              <w:rPr>
                <w:rFonts w:ascii="Times New Roman" w:hAnsi="Times New Roman" w:cs="Times New Roman"/>
                <w:sz w:val="20"/>
                <w:szCs w:val="20"/>
              </w:rPr>
              <w:t>/1926.1412/1926.1417</w:t>
            </w:r>
          </w:p>
        </w:tc>
      </w:tr>
      <w:tr w:rsidR="00316C88" w:rsidRPr="00DE02DB" w14:paraId="4E23DC7F" w14:textId="77777777" w:rsidTr="00D41426">
        <w:tc>
          <w:tcPr>
            <w:tcW w:w="2851" w:type="dxa"/>
          </w:tcPr>
          <w:p w14:paraId="733933ED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Derricks</w:t>
            </w:r>
          </w:p>
        </w:tc>
        <w:tc>
          <w:tcPr>
            <w:tcW w:w="3629" w:type="dxa"/>
          </w:tcPr>
          <w:p w14:paraId="7489F472" w14:textId="34EFBAE1" w:rsidR="00316C88" w:rsidRPr="00DE02DB" w:rsidRDefault="004D043E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Before Place into </w:t>
            </w:r>
            <w:r w:rsidR="00B12ABE">
              <w:rPr>
                <w:rFonts w:ascii="Times New Roman" w:hAnsi="Times New Roman" w:cs="Times New Roman"/>
                <w:sz w:val="20"/>
                <w:szCs w:val="20"/>
              </w:rPr>
              <w:t>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/Pre-Use/Annual</w:t>
            </w:r>
          </w:p>
        </w:tc>
        <w:tc>
          <w:tcPr>
            <w:tcW w:w="3600" w:type="dxa"/>
          </w:tcPr>
          <w:p w14:paraId="6B73A23D" w14:textId="4EC84B83" w:rsidR="00316C88" w:rsidRPr="00DE02DB" w:rsidRDefault="00007B7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1910.181(d)(1)(</w:t>
            </w:r>
            <w:proofErr w:type="gramStart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ii)(</w:t>
            </w:r>
            <w:proofErr w:type="spellStart"/>
            <w:proofErr w:type="gramEnd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a&amp;b</w:t>
            </w:r>
            <w:proofErr w:type="spellEnd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F61F4">
              <w:rPr>
                <w:rFonts w:ascii="Times New Roman" w:hAnsi="Times New Roman" w:cs="Times New Roman"/>
                <w:sz w:val="20"/>
                <w:szCs w:val="20"/>
              </w:rPr>
              <w:t>/1926.1412/1926</w:t>
            </w:r>
            <w:r w:rsidR="00B26A25">
              <w:rPr>
                <w:rFonts w:ascii="Times New Roman" w:hAnsi="Times New Roman" w:cs="Times New Roman"/>
                <w:sz w:val="20"/>
                <w:szCs w:val="20"/>
              </w:rPr>
              <w:t>.1417</w:t>
            </w:r>
          </w:p>
        </w:tc>
      </w:tr>
      <w:tr w:rsidR="00316C88" w:rsidRPr="00DE02DB" w14:paraId="687E710A" w14:textId="77777777" w:rsidTr="00D41426">
        <w:tc>
          <w:tcPr>
            <w:tcW w:w="2851" w:type="dxa"/>
          </w:tcPr>
          <w:p w14:paraId="50CEC1FD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Dipping/Coating Hoods/Ducts</w:t>
            </w:r>
          </w:p>
        </w:tc>
        <w:tc>
          <w:tcPr>
            <w:tcW w:w="3629" w:type="dxa"/>
          </w:tcPr>
          <w:p w14:paraId="26F4D630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Quarterly/Prior to Use</w:t>
            </w:r>
          </w:p>
        </w:tc>
        <w:tc>
          <w:tcPr>
            <w:tcW w:w="3600" w:type="dxa"/>
          </w:tcPr>
          <w:p w14:paraId="19C9A9A9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1910.124(j)(1)(</w:t>
            </w:r>
            <w:proofErr w:type="spellStart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) and (ii)</w:t>
            </w:r>
          </w:p>
        </w:tc>
      </w:tr>
      <w:tr w:rsidR="00316C88" w:rsidRPr="00DE02DB" w14:paraId="69AB2537" w14:textId="77777777" w:rsidTr="00D41426">
        <w:tc>
          <w:tcPr>
            <w:tcW w:w="2851" w:type="dxa"/>
          </w:tcPr>
          <w:p w14:paraId="55C372C2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Dipping/Coating Equipment</w:t>
            </w:r>
          </w:p>
        </w:tc>
        <w:tc>
          <w:tcPr>
            <w:tcW w:w="3629" w:type="dxa"/>
          </w:tcPr>
          <w:p w14:paraId="46166C6B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Periodically/Before Welding</w:t>
            </w:r>
          </w:p>
        </w:tc>
        <w:tc>
          <w:tcPr>
            <w:tcW w:w="3600" w:type="dxa"/>
          </w:tcPr>
          <w:p w14:paraId="654A2CF2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1910.124(j)(3) and (5)</w:t>
            </w:r>
          </w:p>
        </w:tc>
      </w:tr>
      <w:tr w:rsidR="00316C88" w:rsidRPr="00DE02DB" w14:paraId="6321B3B9" w14:textId="77777777" w:rsidTr="00D41426">
        <w:tc>
          <w:tcPr>
            <w:tcW w:w="2851" w:type="dxa"/>
          </w:tcPr>
          <w:p w14:paraId="65BF9EFF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Electrical Cord &amp; Plug Equip &amp; Extension Cords</w:t>
            </w:r>
          </w:p>
        </w:tc>
        <w:tc>
          <w:tcPr>
            <w:tcW w:w="3629" w:type="dxa"/>
          </w:tcPr>
          <w:p w14:paraId="03438BAF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Before Use on Any Shift (Excludes Items Connected for Use</w:t>
            </w:r>
          </w:p>
        </w:tc>
        <w:tc>
          <w:tcPr>
            <w:tcW w:w="3600" w:type="dxa"/>
          </w:tcPr>
          <w:p w14:paraId="51527364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1910.334(a)(2)(</w:t>
            </w:r>
            <w:proofErr w:type="spellStart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16C88" w:rsidRPr="00DE02DB" w14:paraId="243EFAF0" w14:textId="77777777" w:rsidTr="00D41426">
        <w:tc>
          <w:tcPr>
            <w:tcW w:w="2851" w:type="dxa"/>
          </w:tcPr>
          <w:p w14:paraId="1EF89C5F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Electrical PPE</w:t>
            </w:r>
          </w:p>
        </w:tc>
        <w:tc>
          <w:tcPr>
            <w:tcW w:w="3629" w:type="dxa"/>
          </w:tcPr>
          <w:p w14:paraId="4293AC06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Before Use/After Incident/Per Manufacturer</w:t>
            </w:r>
          </w:p>
        </w:tc>
        <w:tc>
          <w:tcPr>
            <w:tcW w:w="3600" w:type="dxa"/>
          </w:tcPr>
          <w:p w14:paraId="363B2EE8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1910.137(b)(2)(ii) I&amp; (viii)</w:t>
            </w:r>
          </w:p>
          <w:p w14:paraId="17835420" w14:textId="77777777" w:rsidR="000B060D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Per Table 1-5 and 1-6</w:t>
            </w:r>
          </w:p>
        </w:tc>
      </w:tr>
      <w:tr w:rsidR="00316C88" w:rsidRPr="00DE02DB" w14:paraId="1FC999B5" w14:textId="77777777" w:rsidTr="00D41426">
        <w:tc>
          <w:tcPr>
            <w:tcW w:w="2851" w:type="dxa"/>
          </w:tcPr>
          <w:p w14:paraId="1F2D7C37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Elevators (Freight/Passenger</w:t>
            </w:r>
            <w:r w:rsidR="000B060D" w:rsidRPr="00DE02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29" w:type="dxa"/>
          </w:tcPr>
          <w:p w14:paraId="2F031835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Freight-Annual/Passenger 6 mo.</w:t>
            </w:r>
          </w:p>
        </w:tc>
        <w:tc>
          <w:tcPr>
            <w:tcW w:w="3600" w:type="dxa"/>
          </w:tcPr>
          <w:p w14:paraId="24C47502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ANSI/ASME A17.2</w:t>
            </w:r>
          </w:p>
        </w:tc>
      </w:tr>
      <w:tr w:rsidR="00316C88" w:rsidRPr="00DE02DB" w14:paraId="3EC5CFD0" w14:textId="77777777" w:rsidTr="00D41426">
        <w:tc>
          <w:tcPr>
            <w:tcW w:w="2851" w:type="dxa"/>
          </w:tcPr>
          <w:p w14:paraId="141A6F47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Emergency Lighting</w:t>
            </w:r>
          </w:p>
        </w:tc>
        <w:tc>
          <w:tcPr>
            <w:tcW w:w="3629" w:type="dxa"/>
          </w:tcPr>
          <w:p w14:paraId="552BA4F3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</w:p>
        </w:tc>
        <w:tc>
          <w:tcPr>
            <w:tcW w:w="3600" w:type="dxa"/>
          </w:tcPr>
          <w:p w14:paraId="0663D3ED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NFPA 70E Article 700.4(B)</w:t>
            </w:r>
          </w:p>
        </w:tc>
      </w:tr>
      <w:tr w:rsidR="00316C88" w:rsidRPr="00DE02DB" w14:paraId="46866E04" w14:textId="77777777" w:rsidTr="00D41426">
        <w:tc>
          <w:tcPr>
            <w:tcW w:w="2851" w:type="dxa"/>
          </w:tcPr>
          <w:p w14:paraId="45C2388D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Eye Wash Stations</w:t>
            </w:r>
          </w:p>
        </w:tc>
        <w:tc>
          <w:tcPr>
            <w:tcW w:w="3629" w:type="dxa"/>
          </w:tcPr>
          <w:p w14:paraId="470058D5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Weekly</w:t>
            </w:r>
          </w:p>
        </w:tc>
        <w:tc>
          <w:tcPr>
            <w:tcW w:w="3600" w:type="dxa"/>
          </w:tcPr>
          <w:p w14:paraId="735CB486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ANSI Z358.1 2014</w:t>
            </w:r>
          </w:p>
        </w:tc>
      </w:tr>
      <w:tr w:rsidR="00316C88" w:rsidRPr="00DE02DB" w14:paraId="517E911B" w14:textId="77777777" w:rsidTr="00D41426">
        <w:tc>
          <w:tcPr>
            <w:tcW w:w="2851" w:type="dxa"/>
          </w:tcPr>
          <w:p w14:paraId="2E377AAD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Fall Arrest Systems</w:t>
            </w:r>
          </w:p>
        </w:tc>
        <w:tc>
          <w:tcPr>
            <w:tcW w:w="3629" w:type="dxa"/>
          </w:tcPr>
          <w:p w14:paraId="216A15EB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Before Each Use</w:t>
            </w:r>
          </w:p>
        </w:tc>
        <w:tc>
          <w:tcPr>
            <w:tcW w:w="3600" w:type="dxa"/>
          </w:tcPr>
          <w:p w14:paraId="7DD78E64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1910.66(f) Appendix C-1</w:t>
            </w:r>
          </w:p>
        </w:tc>
      </w:tr>
      <w:tr w:rsidR="00316C88" w:rsidRPr="00DE02DB" w14:paraId="5B5512B7" w14:textId="77777777" w:rsidTr="00D41426">
        <w:tc>
          <w:tcPr>
            <w:tcW w:w="2851" w:type="dxa"/>
          </w:tcPr>
          <w:p w14:paraId="7F919F88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Fire Extinguishers</w:t>
            </w:r>
          </w:p>
          <w:p w14:paraId="10A225BC" w14:textId="77777777" w:rsidR="000B060D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E648E" w14:textId="77777777" w:rsidR="000B060D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</w:tcPr>
          <w:p w14:paraId="6CB46B75" w14:textId="77777777" w:rsidR="000B060D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Monthly-Visual</w:t>
            </w:r>
          </w:p>
          <w:p w14:paraId="608B5978" w14:textId="77777777" w:rsidR="000B060D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Annual Maintenance Check</w:t>
            </w:r>
          </w:p>
          <w:p w14:paraId="5CF43512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 xml:space="preserve">Hydrostatic Testing per Table L-1                                   </w:t>
            </w:r>
          </w:p>
        </w:tc>
        <w:tc>
          <w:tcPr>
            <w:tcW w:w="3600" w:type="dxa"/>
          </w:tcPr>
          <w:p w14:paraId="1FA4E3A2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1910.157(e)(2)</w:t>
            </w:r>
          </w:p>
          <w:p w14:paraId="13BD8D81" w14:textId="77777777" w:rsidR="000B060D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1910.157(e)(3)</w:t>
            </w:r>
          </w:p>
          <w:p w14:paraId="69EA448F" w14:textId="77777777" w:rsidR="000B060D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1910.157(f)</w:t>
            </w:r>
          </w:p>
        </w:tc>
      </w:tr>
      <w:tr w:rsidR="00316C88" w:rsidRPr="00DE02DB" w14:paraId="1C859387" w14:textId="77777777" w:rsidTr="00D41426">
        <w:tc>
          <w:tcPr>
            <w:tcW w:w="2851" w:type="dxa"/>
          </w:tcPr>
          <w:p w14:paraId="69BBDE7B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Fire Hoses</w:t>
            </w:r>
          </w:p>
        </w:tc>
        <w:tc>
          <w:tcPr>
            <w:tcW w:w="3629" w:type="dxa"/>
          </w:tcPr>
          <w:p w14:paraId="6752F304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Annual Inspection (Re-rack Linen)</w:t>
            </w:r>
          </w:p>
        </w:tc>
        <w:tc>
          <w:tcPr>
            <w:tcW w:w="3600" w:type="dxa"/>
          </w:tcPr>
          <w:p w14:paraId="7441D497" w14:textId="77777777" w:rsidR="00316C88" w:rsidRPr="00DE02DB" w:rsidRDefault="000B060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1910.158(e)(2)(iii) and (v)</w:t>
            </w:r>
          </w:p>
        </w:tc>
      </w:tr>
      <w:tr w:rsidR="00316C88" w:rsidRPr="00DE02DB" w14:paraId="34808CCD" w14:textId="77777777" w:rsidTr="00D41426">
        <w:tc>
          <w:tcPr>
            <w:tcW w:w="2851" w:type="dxa"/>
          </w:tcPr>
          <w:p w14:paraId="4B796075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Auto Sprinkler Systems</w:t>
            </w:r>
          </w:p>
        </w:tc>
        <w:tc>
          <w:tcPr>
            <w:tcW w:w="3629" w:type="dxa"/>
          </w:tcPr>
          <w:p w14:paraId="0A764E1C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Annual Main Drain Flow Test</w:t>
            </w:r>
          </w:p>
        </w:tc>
        <w:tc>
          <w:tcPr>
            <w:tcW w:w="3600" w:type="dxa"/>
          </w:tcPr>
          <w:p w14:paraId="779F4755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1910.159(c)(2)</w:t>
            </w:r>
          </w:p>
        </w:tc>
      </w:tr>
      <w:tr w:rsidR="00316C88" w:rsidRPr="00DE02DB" w14:paraId="61517B7E" w14:textId="77777777" w:rsidTr="00D41426">
        <w:tc>
          <w:tcPr>
            <w:tcW w:w="2851" w:type="dxa"/>
          </w:tcPr>
          <w:p w14:paraId="42A6774E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Fixed Extinguishing Systems</w:t>
            </w:r>
          </w:p>
        </w:tc>
        <w:tc>
          <w:tcPr>
            <w:tcW w:w="3629" w:type="dxa"/>
          </w:tcPr>
          <w:p w14:paraId="073BB538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Annual</w:t>
            </w:r>
          </w:p>
        </w:tc>
        <w:tc>
          <w:tcPr>
            <w:tcW w:w="3600" w:type="dxa"/>
          </w:tcPr>
          <w:p w14:paraId="18A3DC92" w14:textId="77777777" w:rsidR="00316C88" w:rsidRPr="00DE02DB" w:rsidRDefault="0016265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1910.160(b)(6)</w:t>
            </w:r>
            <w:r w:rsidR="000024F4" w:rsidRPr="00DE02DB">
              <w:rPr>
                <w:rFonts w:ascii="Times New Roman" w:hAnsi="Times New Roman" w:cs="Times New Roman"/>
                <w:sz w:val="20"/>
                <w:szCs w:val="20"/>
              </w:rPr>
              <w:t xml:space="preserve"> &amp; 161(b)(4)</w:t>
            </w:r>
          </w:p>
        </w:tc>
      </w:tr>
      <w:tr w:rsidR="00316C88" w:rsidRPr="00DE02DB" w14:paraId="54FAF8BD" w14:textId="77777777" w:rsidTr="00D41426">
        <w:tc>
          <w:tcPr>
            <w:tcW w:w="2851" w:type="dxa"/>
          </w:tcPr>
          <w:p w14:paraId="0DFB824B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Ground Fault Circuit Interrupter</w:t>
            </w:r>
          </w:p>
        </w:tc>
        <w:tc>
          <w:tcPr>
            <w:tcW w:w="3629" w:type="dxa"/>
          </w:tcPr>
          <w:p w14:paraId="04C231D8" w14:textId="5DBA836E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  <w:r w:rsidR="00C2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(Per Manufacturer</w:t>
            </w:r>
            <w:r w:rsidR="00C204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00" w:type="dxa"/>
          </w:tcPr>
          <w:p w14:paraId="28FEE098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1910.303(b)(2)</w:t>
            </w:r>
          </w:p>
        </w:tc>
      </w:tr>
      <w:tr w:rsidR="00E34B11" w:rsidRPr="00DE02DB" w14:paraId="172F500A" w14:textId="77777777" w:rsidTr="00D41426">
        <w:tc>
          <w:tcPr>
            <w:tcW w:w="2851" w:type="dxa"/>
          </w:tcPr>
          <w:p w14:paraId="37060971" w14:textId="4ED74A66" w:rsidR="00E34B11" w:rsidRPr="00DE02DB" w:rsidRDefault="00E34B11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Heav</w:t>
            </w:r>
            <w:r w:rsidR="00E93369">
              <w:rPr>
                <w:rFonts w:ascii="Times New Roman" w:hAnsi="Times New Roman" w:cs="Times New Roman"/>
                <w:sz w:val="20"/>
                <w:szCs w:val="20"/>
              </w:rPr>
              <w:t>y Equipment</w:t>
            </w:r>
            <w:r w:rsidR="009B67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1688B">
              <w:rPr>
                <w:rFonts w:ascii="Times New Roman" w:hAnsi="Times New Roman" w:cs="Times New Roman"/>
                <w:sz w:val="20"/>
                <w:szCs w:val="20"/>
              </w:rPr>
              <w:t>All Vehicles</w:t>
            </w:r>
          </w:p>
        </w:tc>
        <w:tc>
          <w:tcPr>
            <w:tcW w:w="3629" w:type="dxa"/>
          </w:tcPr>
          <w:p w14:paraId="7DA50917" w14:textId="398C7AAE" w:rsidR="00E34B11" w:rsidRPr="00DE02DB" w:rsidRDefault="00E93369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Before Place in Service/Pre-Use</w:t>
            </w:r>
            <w:r w:rsidR="000C3557">
              <w:rPr>
                <w:rFonts w:ascii="Times New Roman" w:hAnsi="Times New Roman" w:cs="Times New Roman"/>
                <w:sz w:val="20"/>
                <w:szCs w:val="20"/>
              </w:rPr>
              <w:t>/Manufacturer</w:t>
            </w:r>
          </w:p>
        </w:tc>
        <w:tc>
          <w:tcPr>
            <w:tcW w:w="3600" w:type="dxa"/>
          </w:tcPr>
          <w:p w14:paraId="3F5ABDC7" w14:textId="020EBF4D" w:rsidR="00E34B11" w:rsidRPr="00DE02DB" w:rsidRDefault="000C3557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KSU PPM 3720</w:t>
            </w:r>
            <w:r w:rsidR="00215C92">
              <w:rPr>
                <w:rFonts w:ascii="Times New Roman" w:hAnsi="Times New Roman" w:cs="Times New Roman"/>
                <w:sz w:val="20"/>
                <w:szCs w:val="20"/>
              </w:rPr>
              <w:t>.110/</w:t>
            </w:r>
            <w:r w:rsidR="004175BC">
              <w:rPr>
                <w:rFonts w:ascii="Times New Roman" w:hAnsi="Times New Roman" w:cs="Times New Roman"/>
                <w:sz w:val="20"/>
                <w:szCs w:val="20"/>
              </w:rPr>
              <w:t>1926.601</w:t>
            </w:r>
            <w:r w:rsidR="00760159">
              <w:rPr>
                <w:rFonts w:ascii="Times New Roman" w:hAnsi="Times New Roman" w:cs="Times New Roman"/>
                <w:sz w:val="20"/>
                <w:szCs w:val="20"/>
              </w:rPr>
              <w:t>(b)(14)</w:t>
            </w:r>
          </w:p>
        </w:tc>
      </w:tr>
      <w:tr w:rsidR="008F567E" w:rsidRPr="00DE02DB" w14:paraId="3EAB945E" w14:textId="77777777" w:rsidTr="00D41426">
        <w:tc>
          <w:tcPr>
            <w:tcW w:w="2851" w:type="dxa"/>
          </w:tcPr>
          <w:p w14:paraId="180FBBA0" w14:textId="5C0F9307" w:rsidR="008F567E" w:rsidRDefault="008F567E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Hoist </w:t>
            </w:r>
            <w:r w:rsidR="009453E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quipment</w:t>
            </w:r>
          </w:p>
        </w:tc>
        <w:tc>
          <w:tcPr>
            <w:tcW w:w="3629" w:type="dxa"/>
          </w:tcPr>
          <w:p w14:paraId="2E9D9D94" w14:textId="382C595A" w:rsidR="008F567E" w:rsidRDefault="008F567E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Follow Guide: </w:t>
            </w:r>
            <w:hyperlink r:id="rId6" w:history="1">
              <w:r w:rsidRPr="0037399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https://www.grainger.com/know-how/safety/material-handling-safety/mechanical-lifting-hazards/kh-overhead-hoist-inspection-328-qt</w:t>
              </w:r>
            </w:hyperlink>
          </w:p>
        </w:tc>
        <w:tc>
          <w:tcPr>
            <w:tcW w:w="3600" w:type="dxa"/>
          </w:tcPr>
          <w:p w14:paraId="6FB2EFEF" w14:textId="4A267AE2" w:rsidR="008F567E" w:rsidRPr="009453EA" w:rsidRDefault="009453EA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3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ASME/ANSI B30.16-2003</w:t>
            </w:r>
            <w:r w:rsidRPr="00945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7" w:tgtFrame="_blank" w:history="1">
              <w:r w:rsidRPr="009453EA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29 CFR 1910.179</w:t>
              </w:r>
            </w:hyperlink>
            <w:r w:rsidRPr="009453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8" w:tgtFrame="_blank" w:history="1">
              <w:r w:rsidRPr="009453EA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29 CFR 1926.554</w:t>
              </w:r>
            </w:hyperlink>
          </w:p>
        </w:tc>
      </w:tr>
      <w:tr w:rsidR="00316C88" w:rsidRPr="00DE02DB" w14:paraId="304FD2FD" w14:textId="77777777" w:rsidTr="00D41426">
        <w:tc>
          <w:tcPr>
            <w:tcW w:w="2851" w:type="dxa"/>
          </w:tcPr>
          <w:p w14:paraId="3B255C7A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Hook, Hoist Chains (freq. use)</w:t>
            </w:r>
          </w:p>
        </w:tc>
        <w:tc>
          <w:tcPr>
            <w:tcW w:w="3629" w:type="dxa"/>
          </w:tcPr>
          <w:p w14:paraId="23598ACA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Daily and Monthly Certification</w:t>
            </w:r>
          </w:p>
        </w:tc>
        <w:tc>
          <w:tcPr>
            <w:tcW w:w="3600" w:type="dxa"/>
          </w:tcPr>
          <w:p w14:paraId="3D2E3263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1910.179(j)(2)(iv)</w:t>
            </w:r>
          </w:p>
        </w:tc>
      </w:tr>
      <w:tr w:rsidR="00316C88" w:rsidRPr="00DE02DB" w14:paraId="47BA7ECD" w14:textId="77777777" w:rsidTr="00D41426">
        <w:tc>
          <w:tcPr>
            <w:tcW w:w="2851" w:type="dxa"/>
          </w:tcPr>
          <w:p w14:paraId="015DF148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Hooks, Overhead Cranes (freq. use</w:t>
            </w:r>
            <w:r w:rsidR="00316C88" w:rsidRPr="00DE02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29" w:type="dxa"/>
          </w:tcPr>
          <w:p w14:paraId="0BFE0192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Daily and Monthly Certification</w:t>
            </w:r>
          </w:p>
        </w:tc>
        <w:tc>
          <w:tcPr>
            <w:tcW w:w="3600" w:type="dxa"/>
          </w:tcPr>
          <w:p w14:paraId="2A8EEA2D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1910.179(j)(2)(iii)</w:t>
            </w:r>
          </w:p>
        </w:tc>
      </w:tr>
      <w:tr w:rsidR="00316C88" w:rsidRPr="00DE02DB" w14:paraId="62353789" w14:textId="77777777" w:rsidTr="00D41426">
        <w:tc>
          <w:tcPr>
            <w:tcW w:w="2851" w:type="dxa"/>
          </w:tcPr>
          <w:p w14:paraId="589F5460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Hooks</w:t>
            </w:r>
          </w:p>
        </w:tc>
        <w:tc>
          <w:tcPr>
            <w:tcW w:w="3629" w:type="dxa"/>
          </w:tcPr>
          <w:p w14:paraId="7374DD8F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Before Each Use and Periodically</w:t>
            </w:r>
          </w:p>
        </w:tc>
        <w:tc>
          <w:tcPr>
            <w:tcW w:w="3600" w:type="dxa"/>
          </w:tcPr>
          <w:p w14:paraId="6564AC5C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ASME/ANSI B30.10</w:t>
            </w:r>
          </w:p>
        </w:tc>
      </w:tr>
      <w:tr w:rsidR="00316C88" w:rsidRPr="00DE02DB" w14:paraId="62B75CF3" w14:textId="77777777" w:rsidTr="00D41426">
        <w:tc>
          <w:tcPr>
            <w:tcW w:w="2851" w:type="dxa"/>
          </w:tcPr>
          <w:p w14:paraId="2EA0751D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Interlock Switches</w:t>
            </w:r>
          </w:p>
        </w:tc>
        <w:tc>
          <w:tcPr>
            <w:tcW w:w="3629" w:type="dxa"/>
          </w:tcPr>
          <w:p w14:paraId="5CB9940D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Periodically</w:t>
            </w:r>
          </w:p>
        </w:tc>
        <w:tc>
          <w:tcPr>
            <w:tcW w:w="3600" w:type="dxa"/>
          </w:tcPr>
          <w:p w14:paraId="5671B19B" w14:textId="77777777" w:rsidR="00316C88" w:rsidRPr="00DE02DB" w:rsidRDefault="005B4BD0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ANSI B11.5.4 (2010)</w:t>
            </w:r>
          </w:p>
        </w:tc>
      </w:tr>
      <w:tr w:rsidR="00316C88" w:rsidRPr="00DE02DB" w14:paraId="54B1CC0E" w14:textId="77777777" w:rsidTr="00D41426">
        <w:tc>
          <w:tcPr>
            <w:tcW w:w="2851" w:type="dxa"/>
          </w:tcPr>
          <w:p w14:paraId="2F75C7B8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Jacks</w:t>
            </w:r>
          </w:p>
        </w:tc>
        <w:tc>
          <w:tcPr>
            <w:tcW w:w="3629" w:type="dxa"/>
          </w:tcPr>
          <w:p w14:paraId="547BB7D5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3600" w:type="dxa"/>
          </w:tcPr>
          <w:p w14:paraId="294845FD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1910.244(a)(2)(vi)(A)</w:t>
            </w:r>
          </w:p>
        </w:tc>
      </w:tr>
      <w:tr w:rsidR="00316C88" w:rsidRPr="00DE02DB" w14:paraId="493AA8A5" w14:textId="77777777" w:rsidTr="00D41426">
        <w:tc>
          <w:tcPr>
            <w:tcW w:w="2851" w:type="dxa"/>
          </w:tcPr>
          <w:p w14:paraId="43EE2A6C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Ladders (Portable Wood)</w:t>
            </w:r>
          </w:p>
        </w:tc>
        <w:tc>
          <w:tcPr>
            <w:tcW w:w="3629" w:type="dxa"/>
          </w:tcPr>
          <w:p w14:paraId="22DE5C4F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Frequent/Per Manufacturer</w:t>
            </w:r>
          </w:p>
        </w:tc>
        <w:tc>
          <w:tcPr>
            <w:tcW w:w="3600" w:type="dxa"/>
          </w:tcPr>
          <w:p w14:paraId="47880BD4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1911.25(d)(1)(x)</w:t>
            </w:r>
          </w:p>
        </w:tc>
      </w:tr>
      <w:tr w:rsidR="00316C88" w:rsidRPr="00DE02DB" w14:paraId="6A0B70A0" w14:textId="77777777" w:rsidTr="00D41426">
        <w:tc>
          <w:tcPr>
            <w:tcW w:w="2851" w:type="dxa"/>
          </w:tcPr>
          <w:p w14:paraId="6A64999B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Ladders (Metal)</w:t>
            </w:r>
          </w:p>
        </w:tc>
        <w:tc>
          <w:tcPr>
            <w:tcW w:w="3629" w:type="dxa"/>
          </w:tcPr>
          <w:p w14:paraId="3065BD14" w14:textId="77777777" w:rsidR="00316C88" w:rsidRPr="00DE02DB" w:rsidRDefault="000024F4" w:rsidP="00DE0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Immediately</w:t>
            </w:r>
            <w:r w:rsidR="00DE02DB">
              <w:rPr>
                <w:rFonts w:ascii="Times New Roman" w:hAnsi="Times New Roman" w:cs="Times New Roman"/>
                <w:sz w:val="20"/>
                <w:szCs w:val="20"/>
              </w:rPr>
              <w:t xml:space="preserve"> after tip-over </w:t>
            </w: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/Per Manufacturer</w:t>
            </w:r>
          </w:p>
        </w:tc>
        <w:tc>
          <w:tcPr>
            <w:tcW w:w="3600" w:type="dxa"/>
          </w:tcPr>
          <w:p w14:paraId="4A138613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1910.27(c)(2)(vi)(</w:t>
            </w:r>
            <w:proofErr w:type="gramStart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a)&amp;</w:t>
            </w:r>
            <w:proofErr w:type="gramEnd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</w:tr>
      <w:tr w:rsidR="00316C88" w:rsidRPr="00DE02DB" w14:paraId="0B7D160C" w14:textId="77777777" w:rsidTr="00D41426">
        <w:tc>
          <w:tcPr>
            <w:tcW w:w="2851" w:type="dxa"/>
          </w:tcPr>
          <w:p w14:paraId="53EC8F47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Light Curtains</w:t>
            </w:r>
          </w:p>
        </w:tc>
        <w:tc>
          <w:tcPr>
            <w:tcW w:w="3629" w:type="dxa"/>
          </w:tcPr>
          <w:p w14:paraId="354178E0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Daily/Manufacturer Specifications</w:t>
            </w:r>
          </w:p>
        </w:tc>
        <w:tc>
          <w:tcPr>
            <w:tcW w:w="3600" w:type="dxa"/>
          </w:tcPr>
          <w:p w14:paraId="2BC6FA4D" w14:textId="77777777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ANSI B11.1-2009 8.4.1</w:t>
            </w:r>
          </w:p>
        </w:tc>
      </w:tr>
      <w:tr w:rsidR="00316C88" w:rsidRPr="00DE02DB" w14:paraId="09CF390F" w14:textId="77777777" w:rsidTr="00D41426">
        <w:tc>
          <w:tcPr>
            <w:tcW w:w="2851" w:type="dxa"/>
          </w:tcPr>
          <w:p w14:paraId="58C37511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LOTO Energy Control Procedure</w:t>
            </w:r>
          </w:p>
        </w:tc>
        <w:tc>
          <w:tcPr>
            <w:tcW w:w="3629" w:type="dxa"/>
          </w:tcPr>
          <w:p w14:paraId="5D6EFB8B" w14:textId="6D728F56" w:rsidR="00316C88" w:rsidRPr="00DE02DB" w:rsidRDefault="00171A3A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Periodic/</w:t>
            </w:r>
            <w:r w:rsidR="000024F4" w:rsidRPr="00DE02DB">
              <w:rPr>
                <w:rFonts w:ascii="Times New Roman" w:hAnsi="Times New Roman" w:cs="Times New Roman"/>
                <w:sz w:val="20"/>
                <w:szCs w:val="20"/>
              </w:rPr>
              <w:t>Annually</w:t>
            </w:r>
          </w:p>
        </w:tc>
        <w:tc>
          <w:tcPr>
            <w:tcW w:w="3600" w:type="dxa"/>
          </w:tcPr>
          <w:p w14:paraId="05B4F2B2" w14:textId="1D415DAB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1910.147(c)(6)(</w:t>
            </w:r>
            <w:proofErr w:type="spellStart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C25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C2516" w:rsidRPr="005C251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1910.147(c)(6)(</w:t>
            </w:r>
            <w:proofErr w:type="spellStart"/>
            <w:r w:rsidR="005C2516" w:rsidRPr="005C251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="005C2516" w:rsidRPr="005C251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)(A)</w:t>
            </w:r>
          </w:p>
        </w:tc>
      </w:tr>
      <w:tr w:rsidR="009116AD" w:rsidRPr="00DE02DB" w14:paraId="31050D73" w14:textId="77777777" w:rsidTr="00D41426">
        <w:tc>
          <w:tcPr>
            <w:tcW w:w="2851" w:type="dxa"/>
          </w:tcPr>
          <w:p w14:paraId="0CD38063" w14:textId="31521A98" w:rsidR="009116AD" w:rsidRPr="00DE02DB" w:rsidRDefault="009116A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r w:rsidR="00757FB2">
              <w:rPr>
                <w:rFonts w:ascii="Times New Roman" w:hAnsi="Times New Roman" w:cs="Times New Roman"/>
                <w:sz w:val="20"/>
                <w:szCs w:val="20"/>
              </w:rPr>
              <w:t>/Fuel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Storage Containers</w:t>
            </w:r>
          </w:p>
        </w:tc>
        <w:tc>
          <w:tcPr>
            <w:tcW w:w="3629" w:type="dxa"/>
          </w:tcPr>
          <w:p w14:paraId="28F115E1" w14:textId="0168FE47" w:rsidR="009116AD" w:rsidRDefault="009116A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Follow Inspection Schedule in the SPCC Plan</w:t>
            </w:r>
          </w:p>
        </w:tc>
        <w:tc>
          <w:tcPr>
            <w:tcW w:w="3600" w:type="dxa"/>
          </w:tcPr>
          <w:p w14:paraId="43E13041" w14:textId="15E2FF5E" w:rsidR="009116AD" w:rsidRPr="00DE02DB" w:rsidRDefault="007665F0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EPA</w:t>
            </w:r>
            <w:r w:rsidR="00422402">
              <w:rPr>
                <w:rFonts w:ascii="Times New Roman" w:hAnsi="Times New Roman" w:cs="Times New Roman"/>
                <w:sz w:val="20"/>
                <w:szCs w:val="20"/>
              </w:rPr>
              <w:t>/SPCC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Section 311(j)(1)(C) of the Federal Water Pollution Control Act </w:t>
            </w:r>
            <w:r>
              <w:lastRenderedPageBreak/>
              <w:t>(Clean Water Act), Title 40, Code of Federal Regulations, Part 112.</w:t>
            </w:r>
          </w:p>
        </w:tc>
      </w:tr>
      <w:tr w:rsidR="00316C88" w:rsidRPr="00DE02DB" w14:paraId="58A761D4" w14:textId="77777777" w:rsidTr="00D41426">
        <w:tc>
          <w:tcPr>
            <w:tcW w:w="2851" w:type="dxa"/>
          </w:tcPr>
          <w:p w14:paraId="6DCCB63C" w14:textId="000C71E9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Powered Industrial Trucks</w:t>
            </w:r>
            <w:r w:rsidR="004D043E">
              <w:rPr>
                <w:rFonts w:ascii="Times New Roman" w:hAnsi="Times New Roman" w:cs="Times New Roman"/>
                <w:sz w:val="20"/>
                <w:szCs w:val="20"/>
              </w:rPr>
              <w:t>/Forklift</w:t>
            </w:r>
          </w:p>
        </w:tc>
        <w:tc>
          <w:tcPr>
            <w:tcW w:w="3629" w:type="dxa"/>
          </w:tcPr>
          <w:p w14:paraId="61780811" w14:textId="73FD558F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 xml:space="preserve">Before </w:t>
            </w:r>
            <w:r w:rsidR="008917BD">
              <w:rPr>
                <w:rFonts w:ascii="Times New Roman" w:hAnsi="Times New Roman" w:cs="Times New Roman"/>
                <w:sz w:val="20"/>
                <w:szCs w:val="20"/>
              </w:rPr>
              <w:t xml:space="preserve">Placed in </w:t>
            </w:r>
            <w:r w:rsidR="00B12ABE">
              <w:rPr>
                <w:rFonts w:ascii="Times New Roman" w:hAnsi="Times New Roman" w:cs="Times New Roman"/>
                <w:sz w:val="20"/>
                <w:szCs w:val="20"/>
              </w:rPr>
              <w:t>Service/Pre-Use</w:t>
            </w:r>
          </w:p>
        </w:tc>
        <w:tc>
          <w:tcPr>
            <w:tcW w:w="3600" w:type="dxa"/>
          </w:tcPr>
          <w:p w14:paraId="54DA6026" w14:textId="4D785AD4" w:rsidR="00316C88" w:rsidRPr="00DE02DB" w:rsidRDefault="000024F4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1910.178(q)(7</w:t>
            </w:r>
            <w:r w:rsidRPr="009C08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C4A2D" w:rsidRPr="009C08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C4A2D" w:rsidRPr="009C088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ANSI B56.1</w:t>
            </w:r>
          </w:p>
        </w:tc>
      </w:tr>
      <w:tr w:rsidR="00316C88" w:rsidRPr="00DE02DB" w14:paraId="38245E11" w14:textId="77777777" w:rsidTr="00D41426">
        <w:tc>
          <w:tcPr>
            <w:tcW w:w="2851" w:type="dxa"/>
          </w:tcPr>
          <w:p w14:paraId="2860DB8F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Power Presses</w:t>
            </w:r>
          </w:p>
        </w:tc>
        <w:tc>
          <w:tcPr>
            <w:tcW w:w="3629" w:type="dxa"/>
          </w:tcPr>
          <w:p w14:paraId="26D3B2C0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Weekly</w:t>
            </w:r>
          </w:p>
        </w:tc>
        <w:tc>
          <w:tcPr>
            <w:tcW w:w="3600" w:type="dxa"/>
          </w:tcPr>
          <w:p w14:paraId="227D3343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1910.217(e)(1)(ii)</w:t>
            </w:r>
          </w:p>
        </w:tc>
      </w:tr>
      <w:tr w:rsidR="00316C88" w:rsidRPr="00DE02DB" w14:paraId="61FC17AD" w14:textId="77777777" w:rsidTr="00D41426">
        <w:tc>
          <w:tcPr>
            <w:tcW w:w="2851" w:type="dxa"/>
          </w:tcPr>
          <w:p w14:paraId="66398C03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Pull Back Devise/Restraint</w:t>
            </w:r>
          </w:p>
        </w:tc>
        <w:tc>
          <w:tcPr>
            <w:tcW w:w="3629" w:type="dxa"/>
          </w:tcPr>
          <w:p w14:paraId="48BD4720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Per Shift/New Die/New Operator</w:t>
            </w:r>
          </w:p>
        </w:tc>
        <w:tc>
          <w:tcPr>
            <w:tcW w:w="3600" w:type="dxa"/>
          </w:tcPr>
          <w:p w14:paraId="205E7004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1910.217(c)(3)(iv)(D)</w:t>
            </w:r>
          </w:p>
        </w:tc>
      </w:tr>
      <w:tr w:rsidR="00316C88" w:rsidRPr="00DE02DB" w14:paraId="24DDE5D0" w14:textId="77777777" w:rsidTr="00D41426">
        <w:tc>
          <w:tcPr>
            <w:tcW w:w="2851" w:type="dxa"/>
          </w:tcPr>
          <w:p w14:paraId="1F2539F7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Power Transmission Equipment</w:t>
            </w:r>
          </w:p>
        </w:tc>
        <w:tc>
          <w:tcPr>
            <w:tcW w:w="3629" w:type="dxa"/>
          </w:tcPr>
          <w:p w14:paraId="722D84B4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Every 60 days</w:t>
            </w:r>
          </w:p>
        </w:tc>
        <w:tc>
          <w:tcPr>
            <w:tcW w:w="3600" w:type="dxa"/>
          </w:tcPr>
          <w:p w14:paraId="5748F4A3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1910.219(p)(1)</w:t>
            </w:r>
          </w:p>
        </w:tc>
      </w:tr>
      <w:tr w:rsidR="00316C88" w:rsidRPr="00DE02DB" w14:paraId="6BDBD32B" w14:textId="77777777" w:rsidTr="00D41426">
        <w:tc>
          <w:tcPr>
            <w:tcW w:w="2851" w:type="dxa"/>
          </w:tcPr>
          <w:p w14:paraId="6FC612CF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Resistance Welding Equipment</w:t>
            </w:r>
          </w:p>
        </w:tc>
        <w:tc>
          <w:tcPr>
            <w:tcW w:w="3629" w:type="dxa"/>
          </w:tcPr>
          <w:p w14:paraId="1CCC7C86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Periodic</w:t>
            </w:r>
          </w:p>
        </w:tc>
        <w:tc>
          <w:tcPr>
            <w:tcW w:w="3600" w:type="dxa"/>
          </w:tcPr>
          <w:p w14:paraId="6BD1D4C1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1910.255(e)</w:t>
            </w:r>
          </w:p>
        </w:tc>
      </w:tr>
      <w:tr w:rsidR="00316C88" w:rsidRPr="00DE02DB" w14:paraId="61DBC132" w14:textId="77777777" w:rsidTr="00D41426">
        <w:tc>
          <w:tcPr>
            <w:tcW w:w="2851" w:type="dxa"/>
          </w:tcPr>
          <w:p w14:paraId="6B40F78E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Respirators –Routine</w:t>
            </w:r>
          </w:p>
          <w:p w14:paraId="3665E1D2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Respirators-Emergency</w:t>
            </w:r>
          </w:p>
          <w:p w14:paraId="7D950A08" w14:textId="77777777" w:rsidR="00DE02DB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Respirators-Escape Only</w:t>
            </w:r>
          </w:p>
        </w:tc>
        <w:tc>
          <w:tcPr>
            <w:tcW w:w="3629" w:type="dxa"/>
          </w:tcPr>
          <w:p w14:paraId="59AEBF74" w14:textId="77777777" w:rsidR="00316C88" w:rsidRPr="00DE02DB" w:rsidRDefault="00DE02DB" w:rsidP="00DE0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Before Each Use/After Emergency Use/Monthly/Per Manufacturer’s Recommendation</w:t>
            </w:r>
          </w:p>
        </w:tc>
        <w:tc>
          <w:tcPr>
            <w:tcW w:w="3600" w:type="dxa"/>
          </w:tcPr>
          <w:p w14:paraId="1FF3AA5F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1910.134(h)(3)</w:t>
            </w:r>
          </w:p>
        </w:tc>
      </w:tr>
      <w:tr w:rsidR="00316C88" w:rsidRPr="00DE02DB" w14:paraId="20F83128" w14:textId="77777777" w:rsidTr="00D41426">
        <w:tc>
          <w:tcPr>
            <w:tcW w:w="2851" w:type="dxa"/>
          </w:tcPr>
          <w:p w14:paraId="468F8E54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Rope (Running Derrick)</w:t>
            </w:r>
          </w:p>
        </w:tc>
        <w:tc>
          <w:tcPr>
            <w:tcW w:w="3629" w:type="dxa"/>
          </w:tcPr>
          <w:p w14:paraId="0C540D54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</w:p>
        </w:tc>
        <w:tc>
          <w:tcPr>
            <w:tcW w:w="3600" w:type="dxa"/>
          </w:tcPr>
          <w:p w14:paraId="0F8FF6B5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1910.181(g)(1)</w:t>
            </w:r>
          </w:p>
        </w:tc>
      </w:tr>
      <w:tr w:rsidR="00316C88" w:rsidRPr="00DE02DB" w14:paraId="2D026580" w14:textId="77777777" w:rsidTr="00D41426">
        <w:tc>
          <w:tcPr>
            <w:tcW w:w="2851" w:type="dxa"/>
          </w:tcPr>
          <w:p w14:paraId="6C82963B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Sawmill Stackers/</w:t>
            </w:r>
            <w:proofErr w:type="spellStart"/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Unstackers</w:t>
            </w:r>
            <w:proofErr w:type="spellEnd"/>
          </w:p>
        </w:tc>
        <w:tc>
          <w:tcPr>
            <w:tcW w:w="3629" w:type="dxa"/>
          </w:tcPr>
          <w:p w14:paraId="68CA594E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Frequent Intervals</w:t>
            </w:r>
          </w:p>
        </w:tc>
        <w:tc>
          <w:tcPr>
            <w:tcW w:w="3600" w:type="dxa"/>
          </w:tcPr>
          <w:p w14:paraId="35D0F98D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1910.265(c)(26)(ix)</w:t>
            </w:r>
          </w:p>
        </w:tc>
      </w:tr>
      <w:tr w:rsidR="00316C88" w:rsidRPr="00DE02DB" w14:paraId="3DD19CBB" w14:textId="77777777" w:rsidTr="00D41426">
        <w:tc>
          <w:tcPr>
            <w:tcW w:w="2851" w:type="dxa"/>
          </w:tcPr>
          <w:p w14:paraId="4FFC99B8" w14:textId="77777777" w:rsidR="00316C88" w:rsidRPr="00DE02DB" w:rsidRDefault="00316C8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Sawmill Band Head Saw Wheels</w:t>
            </w:r>
          </w:p>
        </w:tc>
        <w:tc>
          <w:tcPr>
            <w:tcW w:w="3629" w:type="dxa"/>
          </w:tcPr>
          <w:p w14:paraId="28A206DB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</w:p>
        </w:tc>
        <w:tc>
          <w:tcPr>
            <w:tcW w:w="3600" w:type="dxa"/>
          </w:tcPr>
          <w:p w14:paraId="6AEDBF52" w14:textId="77777777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1910.265(e)(2)(ii)(b)</w:t>
            </w:r>
          </w:p>
        </w:tc>
      </w:tr>
      <w:tr w:rsidR="00215C92" w:rsidRPr="00DE02DB" w14:paraId="46A40A03" w14:textId="77777777" w:rsidTr="00D41426">
        <w:tc>
          <w:tcPr>
            <w:tcW w:w="2851" w:type="dxa"/>
          </w:tcPr>
          <w:p w14:paraId="03416DD3" w14:textId="3F5F4A68" w:rsidR="00215C92" w:rsidRPr="00DE02DB" w:rsidRDefault="00215C92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Scaffolding</w:t>
            </w:r>
          </w:p>
        </w:tc>
        <w:tc>
          <w:tcPr>
            <w:tcW w:w="3629" w:type="dxa"/>
          </w:tcPr>
          <w:p w14:paraId="001EE6DD" w14:textId="1651A340" w:rsidR="00215C92" w:rsidRPr="00D01D59" w:rsidRDefault="00A9212D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1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Pre-Use/A</w:t>
            </w:r>
            <w:r w:rsidR="00D01D59" w:rsidRPr="00A921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fter any occurrence which could affect a scaffold's structural integrity.</w:t>
            </w:r>
          </w:p>
        </w:tc>
        <w:tc>
          <w:tcPr>
            <w:tcW w:w="3600" w:type="dxa"/>
          </w:tcPr>
          <w:p w14:paraId="3C8B4A09" w14:textId="7308D037" w:rsidR="00215C92" w:rsidRPr="00DE02DB" w:rsidRDefault="00D01D59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1926.451(f)(3)</w:t>
            </w:r>
          </w:p>
        </w:tc>
      </w:tr>
      <w:tr w:rsidR="00215C92" w:rsidRPr="00DE02DB" w14:paraId="720EB3C2" w14:textId="77777777" w:rsidTr="00D41426">
        <w:tc>
          <w:tcPr>
            <w:tcW w:w="2851" w:type="dxa"/>
          </w:tcPr>
          <w:p w14:paraId="68FAE834" w14:textId="5860295F" w:rsidR="00215C92" w:rsidRPr="00DE02DB" w:rsidRDefault="00215C92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Scissor Lift</w:t>
            </w:r>
          </w:p>
        </w:tc>
        <w:tc>
          <w:tcPr>
            <w:tcW w:w="3629" w:type="dxa"/>
          </w:tcPr>
          <w:p w14:paraId="7CAAF5A5" w14:textId="7D90EFD3" w:rsidR="00215C92" w:rsidRPr="00DE02DB" w:rsidRDefault="004A5826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Before Placed in Service/</w:t>
            </w:r>
            <w:r w:rsidR="001B73F8" w:rsidRPr="00A9212D">
              <w:rPr>
                <w:rFonts w:ascii="Times New Roman" w:hAnsi="Times New Roman" w:cs="Times New Roman"/>
                <w:sz w:val="20"/>
                <w:szCs w:val="20"/>
              </w:rPr>
              <w:t>Pre-Use</w:t>
            </w:r>
            <w:r w:rsidR="00A9212D" w:rsidRPr="00A921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9212D" w:rsidRPr="00A921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After any occurrence which could affect structural integrity</w:t>
            </w:r>
            <w:r w:rsidR="00A921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00" w:type="dxa"/>
          </w:tcPr>
          <w:p w14:paraId="459EA437" w14:textId="436C5C0A" w:rsidR="00215C92" w:rsidRPr="00DE02DB" w:rsidRDefault="001B73F8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1926.451(f)(3)</w:t>
            </w:r>
          </w:p>
        </w:tc>
      </w:tr>
      <w:tr w:rsidR="00316C88" w:rsidRPr="00DE02DB" w14:paraId="4C1ECD66" w14:textId="77777777" w:rsidTr="00D41426">
        <w:trPr>
          <w:trHeight w:val="512"/>
        </w:trPr>
        <w:tc>
          <w:tcPr>
            <w:tcW w:w="2851" w:type="dxa"/>
          </w:tcPr>
          <w:p w14:paraId="2D769A29" w14:textId="2C10B16E" w:rsidR="00DE02DB" w:rsidRPr="00DE02DB" w:rsidRDefault="00316C88" w:rsidP="00DE0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Slings</w:t>
            </w:r>
          </w:p>
        </w:tc>
        <w:tc>
          <w:tcPr>
            <w:tcW w:w="3629" w:type="dxa"/>
          </w:tcPr>
          <w:p w14:paraId="3A04E3C6" w14:textId="58329DE8" w:rsidR="00316C88" w:rsidRPr="00DE02DB" w:rsidRDefault="00DE02DB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2DB">
              <w:rPr>
                <w:rFonts w:ascii="Times New Roman" w:hAnsi="Times New Roman" w:cs="Times New Roman"/>
                <w:sz w:val="20"/>
                <w:szCs w:val="20"/>
              </w:rPr>
              <w:t>Before Use</w:t>
            </w:r>
            <w:r w:rsidR="0064756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52724"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  <w:r w:rsidR="00EA37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47566">
              <w:rPr>
                <w:rFonts w:ascii="Times New Roman" w:hAnsi="Times New Roman" w:cs="Times New Roman"/>
                <w:sz w:val="20"/>
                <w:szCs w:val="20"/>
              </w:rPr>
              <w:t>Annually</w:t>
            </w:r>
          </w:p>
        </w:tc>
        <w:tc>
          <w:tcPr>
            <w:tcW w:w="3600" w:type="dxa"/>
          </w:tcPr>
          <w:p w14:paraId="68A2E457" w14:textId="76A07A38" w:rsidR="00316C88" w:rsidRPr="00115CA6" w:rsidRDefault="0050348F" w:rsidP="0031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A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1910.184(e)(3)</w:t>
            </w:r>
          </w:p>
        </w:tc>
      </w:tr>
    </w:tbl>
    <w:p w14:paraId="2CAF7145" w14:textId="77777777" w:rsidR="001E1FEF" w:rsidRDefault="001E1FEF">
      <w:pPr>
        <w:rPr>
          <w:color w:val="FF0000"/>
          <w:sz w:val="28"/>
          <w:szCs w:val="28"/>
        </w:rPr>
      </w:pPr>
    </w:p>
    <w:p w14:paraId="54BA9C31" w14:textId="4556C424" w:rsidR="00DE02DB" w:rsidRDefault="00D41426">
      <w:pPr>
        <w:rPr>
          <w:color w:val="FF0000"/>
          <w:sz w:val="28"/>
          <w:szCs w:val="28"/>
        </w:rPr>
      </w:pPr>
      <w:r w:rsidRPr="00D41426">
        <w:rPr>
          <w:color w:val="FF0000"/>
          <w:sz w:val="28"/>
          <w:szCs w:val="28"/>
        </w:rPr>
        <w:t>This is not a complete list of inspections, just a list of the more commonly observed items.</w:t>
      </w:r>
      <w:r w:rsidR="00312BF9">
        <w:rPr>
          <w:color w:val="FF0000"/>
          <w:sz w:val="28"/>
          <w:szCs w:val="28"/>
        </w:rPr>
        <w:t xml:space="preserve"> </w:t>
      </w:r>
      <w:r w:rsidR="0052365D">
        <w:rPr>
          <w:color w:val="FF0000"/>
          <w:sz w:val="28"/>
          <w:szCs w:val="28"/>
        </w:rPr>
        <w:t xml:space="preserve">If you </w:t>
      </w:r>
      <w:r w:rsidR="002E70C9">
        <w:rPr>
          <w:color w:val="FF0000"/>
          <w:sz w:val="28"/>
          <w:szCs w:val="28"/>
        </w:rPr>
        <w:t>identify</w:t>
      </w:r>
      <w:r w:rsidR="00E04CFB">
        <w:rPr>
          <w:color w:val="FF0000"/>
          <w:sz w:val="28"/>
          <w:szCs w:val="28"/>
        </w:rPr>
        <w:t xml:space="preserve"> a type of inspection</w:t>
      </w:r>
      <w:r w:rsidR="00DE2868">
        <w:rPr>
          <w:color w:val="FF0000"/>
          <w:sz w:val="28"/>
          <w:szCs w:val="28"/>
        </w:rPr>
        <w:t xml:space="preserve"> required</w:t>
      </w:r>
      <w:r w:rsidR="00E04CFB">
        <w:rPr>
          <w:color w:val="FF0000"/>
          <w:sz w:val="28"/>
          <w:szCs w:val="28"/>
        </w:rPr>
        <w:t xml:space="preserve"> that is not in</w:t>
      </w:r>
      <w:r w:rsidR="001F6EAB">
        <w:rPr>
          <w:color w:val="FF0000"/>
          <w:sz w:val="28"/>
          <w:szCs w:val="28"/>
        </w:rPr>
        <w:t xml:space="preserve">dicated in the chart, please contact the COA EHS Director. </w:t>
      </w:r>
    </w:p>
    <w:p w14:paraId="664B6F84" w14:textId="7702104A" w:rsidR="001F6EAB" w:rsidRDefault="001F6EAB">
      <w:pPr>
        <w:rPr>
          <w:color w:val="FF0000"/>
          <w:sz w:val="28"/>
          <w:szCs w:val="28"/>
        </w:rPr>
      </w:pPr>
    </w:p>
    <w:p w14:paraId="2537D1F5" w14:textId="2E3ADCAF" w:rsidR="001F6EAB" w:rsidRPr="00D41426" w:rsidRDefault="001F6EA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Important Note: </w:t>
      </w:r>
      <w:r w:rsidR="0076598F">
        <w:rPr>
          <w:color w:val="FF0000"/>
          <w:sz w:val="28"/>
          <w:szCs w:val="28"/>
        </w:rPr>
        <w:t>Inspect equipment</w:t>
      </w:r>
      <w:r w:rsidR="002E5066">
        <w:rPr>
          <w:color w:val="FF0000"/>
          <w:sz w:val="28"/>
          <w:szCs w:val="28"/>
        </w:rPr>
        <w:t xml:space="preserve"> prior to being placed in service</w:t>
      </w:r>
      <w:r w:rsidR="0000433C">
        <w:rPr>
          <w:color w:val="FF0000"/>
          <w:sz w:val="28"/>
          <w:szCs w:val="28"/>
        </w:rPr>
        <w:t xml:space="preserve"> and before each use.</w:t>
      </w:r>
      <w:r w:rsidR="00E32C0D">
        <w:rPr>
          <w:color w:val="FF0000"/>
          <w:sz w:val="28"/>
          <w:szCs w:val="28"/>
        </w:rPr>
        <w:t xml:space="preserve"> If the </w:t>
      </w:r>
      <w:r w:rsidR="001D4CBE">
        <w:rPr>
          <w:color w:val="FF0000"/>
          <w:sz w:val="28"/>
          <w:szCs w:val="28"/>
        </w:rPr>
        <w:t xml:space="preserve">manufacturer </w:t>
      </w:r>
      <w:r w:rsidR="00E32C0D">
        <w:rPr>
          <w:color w:val="FF0000"/>
          <w:sz w:val="28"/>
          <w:szCs w:val="28"/>
        </w:rPr>
        <w:t xml:space="preserve">frequency </w:t>
      </w:r>
      <w:r w:rsidR="00E10D3A">
        <w:rPr>
          <w:color w:val="FF0000"/>
          <w:sz w:val="28"/>
          <w:szCs w:val="28"/>
        </w:rPr>
        <w:t>supersedes</w:t>
      </w:r>
      <w:r w:rsidR="00E32C0D">
        <w:rPr>
          <w:color w:val="FF0000"/>
          <w:sz w:val="28"/>
          <w:szCs w:val="28"/>
        </w:rPr>
        <w:t xml:space="preserve"> the standard</w:t>
      </w:r>
      <w:r w:rsidR="00E10D3A">
        <w:rPr>
          <w:color w:val="FF0000"/>
          <w:sz w:val="28"/>
          <w:szCs w:val="28"/>
        </w:rPr>
        <w:t xml:space="preserve">, </w:t>
      </w:r>
      <w:r w:rsidR="00E32C0D">
        <w:rPr>
          <w:color w:val="FF0000"/>
          <w:sz w:val="28"/>
          <w:szCs w:val="28"/>
        </w:rPr>
        <w:t xml:space="preserve">you must follow </w:t>
      </w:r>
      <w:r w:rsidR="00E10D3A">
        <w:rPr>
          <w:color w:val="FF0000"/>
          <w:sz w:val="28"/>
          <w:szCs w:val="28"/>
        </w:rPr>
        <w:t xml:space="preserve">the manufacturer guidelines for inspections. </w:t>
      </w:r>
      <w:r w:rsidR="00BD5605">
        <w:rPr>
          <w:color w:val="FF0000"/>
          <w:sz w:val="28"/>
          <w:szCs w:val="28"/>
        </w:rPr>
        <w:t xml:space="preserve">Many manufacturers provide inspection checklist in the operations manual. If </w:t>
      </w:r>
      <w:r w:rsidR="00A5513F">
        <w:rPr>
          <w:color w:val="FF0000"/>
          <w:sz w:val="28"/>
          <w:szCs w:val="28"/>
        </w:rPr>
        <w:t xml:space="preserve">the manufacturer does not provide a safety inspection checklist refer to the COA EHS Resource Guide or contact the COA EHS Department for assistance. </w:t>
      </w:r>
    </w:p>
    <w:sectPr w:rsidR="001F6EAB" w:rsidRPr="00D41426" w:rsidSect="00DE02DB"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63DD" w14:textId="77777777" w:rsidR="00381650" w:rsidRDefault="00381650" w:rsidP="00316C88">
      <w:pPr>
        <w:spacing w:after="0" w:line="240" w:lineRule="auto"/>
      </w:pPr>
      <w:r>
        <w:separator/>
      </w:r>
    </w:p>
  </w:endnote>
  <w:endnote w:type="continuationSeparator" w:id="0">
    <w:p w14:paraId="0D6CBBE2" w14:textId="77777777" w:rsidR="00381650" w:rsidRDefault="00381650" w:rsidP="0031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3A0D" w14:textId="77777777" w:rsidR="00381650" w:rsidRDefault="00381650" w:rsidP="00316C88">
      <w:pPr>
        <w:spacing w:after="0" w:line="240" w:lineRule="auto"/>
      </w:pPr>
      <w:r>
        <w:separator/>
      </w:r>
    </w:p>
  </w:footnote>
  <w:footnote w:type="continuationSeparator" w:id="0">
    <w:p w14:paraId="74275696" w14:textId="77777777" w:rsidR="00381650" w:rsidRDefault="00381650" w:rsidP="0031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9D66" w14:textId="77777777" w:rsidR="00DE02DB" w:rsidRPr="00DE02DB" w:rsidRDefault="00DE02DB" w:rsidP="00DE02DB">
    <w:pPr>
      <w:pStyle w:val="Header"/>
      <w:jc w:val="center"/>
      <w:rPr>
        <w:b/>
        <w:sz w:val="28"/>
        <w:szCs w:val="28"/>
      </w:rPr>
    </w:pPr>
    <w:r w:rsidRPr="00DE02DB">
      <w:rPr>
        <w:b/>
        <w:sz w:val="28"/>
        <w:szCs w:val="28"/>
      </w:rPr>
      <w:t>COMMON INSPECTION REQUIREMENTS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88"/>
    <w:rsid w:val="000024F4"/>
    <w:rsid w:val="0000433C"/>
    <w:rsid w:val="00007B78"/>
    <w:rsid w:val="0005137A"/>
    <w:rsid w:val="000B060D"/>
    <w:rsid w:val="000C3557"/>
    <w:rsid w:val="00115CA6"/>
    <w:rsid w:val="00121B4A"/>
    <w:rsid w:val="0016265D"/>
    <w:rsid w:val="00171A3A"/>
    <w:rsid w:val="001B73F8"/>
    <w:rsid w:val="001D4CBE"/>
    <w:rsid w:val="001E1FEF"/>
    <w:rsid w:val="001F6EAB"/>
    <w:rsid w:val="00215C92"/>
    <w:rsid w:val="0026154E"/>
    <w:rsid w:val="002E5066"/>
    <w:rsid w:val="002E70C9"/>
    <w:rsid w:val="00312BF9"/>
    <w:rsid w:val="00316C88"/>
    <w:rsid w:val="0037399A"/>
    <w:rsid w:val="00381650"/>
    <w:rsid w:val="003C6B1D"/>
    <w:rsid w:val="004175BC"/>
    <w:rsid w:val="00422402"/>
    <w:rsid w:val="0044073D"/>
    <w:rsid w:val="0044220C"/>
    <w:rsid w:val="004A5826"/>
    <w:rsid w:val="004D043E"/>
    <w:rsid w:val="004F61F4"/>
    <w:rsid w:val="0050348F"/>
    <w:rsid w:val="0052365D"/>
    <w:rsid w:val="005438D6"/>
    <w:rsid w:val="00561AC4"/>
    <w:rsid w:val="005B4BD0"/>
    <w:rsid w:val="005C2516"/>
    <w:rsid w:val="005C5588"/>
    <w:rsid w:val="006076C8"/>
    <w:rsid w:val="00647566"/>
    <w:rsid w:val="00737E67"/>
    <w:rsid w:val="00757FB2"/>
    <w:rsid w:val="00760159"/>
    <w:rsid w:val="0076598F"/>
    <w:rsid w:val="007665F0"/>
    <w:rsid w:val="00822B73"/>
    <w:rsid w:val="00852724"/>
    <w:rsid w:val="008917BD"/>
    <w:rsid w:val="008C6D7C"/>
    <w:rsid w:val="008D0366"/>
    <w:rsid w:val="008F567E"/>
    <w:rsid w:val="009116AD"/>
    <w:rsid w:val="009453EA"/>
    <w:rsid w:val="009B6793"/>
    <w:rsid w:val="009C0880"/>
    <w:rsid w:val="00A5513F"/>
    <w:rsid w:val="00A9212D"/>
    <w:rsid w:val="00AF4B35"/>
    <w:rsid w:val="00B12ABE"/>
    <w:rsid w:val="00B202C0"/>
    <w:rsid w:val="00B26A25"/>
    <w:rsid w:val="00B414C9"/>
    <w:rsid w:val="00BD5605"/>
    <w:rsid w:val="00C20412"/>
    <w:rsid w:val="00D01D59"/>
    <w:rsid w:val="00D1688B"/>
    <w:rsid w:val="00D41426"/>
    <w:rsid w:val="00D576D7"/>
    <w:rsid w:val="00DE02DB"/>
    <w:rsid w:val="00DE2868"/>
    <w:rsid w:val="00E04CFB"/>
    <w:rsid w:val="00E10D3A"/>
    <w:rsid w:val="00E13C24"/>
    <w:rsid w:val="00E32C0D"/>
    <w:rsid w:val="00E34B11"/>
    <w:rsid w:val="00E93369"/>
    <w:rsid w:val="00EA376C"/>
    <w:rsid w:val="00EC4A2D"/>
    <w:rsid w:val="00EF21D0"/>
    <w:rsid w:val="00F964F4"/>
    <w:rsid w:val="00FB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0569"/>
  <w15:chartTrackingRefBased/>
  <w15:docId w15:val="{CDD626C4-8FE0-4168-B526-B172A25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C88"/>
  </w:style>
  <w:style w:type="paragraph" w:styleId="Footer">
    <w:name w:val="footer"/>
    <w:basedOn w:val="Normal"/>
    <w:link w:val="FooterChar"/>
    <w:uiPriority w:val="99"/>
    <w:unhideWhenUsed/>
    <w:rsid w:val="0031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C88"/>
  </w:style>
  <w:style w:type="paragraph" w:styleId="BalloonText">
    <w:name w:val="Balloon Text"/>
    <w:basedOn w:val="Normal"/>
    <w:link w:val="BalloonTextChar"/>
    <w:uiPriority w:val="99"/>
    <w:semiHidden/>
    <w:unhideWhenUsed/>
    <w:rsid w:val="00DE0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53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ha.gov/pls/oshaweb/owadisp.show_document?p_table=STANDARDS&amp;p_id=107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sha.gov/pls/oshaweb/owadisp.show_document?p_table=STANDARDS&amp;p_id=98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ainger.com/know-how/safety/material-handling-safety/mechanical-lifting-hazards/kh-overhead-hoist-inspection-328-q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KDOL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Wolfe [KDOL]</dc:creator>
  <cp:keywords/>
  <dc:description/>
  <cp:lastModifiedBy>Sandra Hoffman</cp:lastModifiedBy>
  <cp:revision>64</cp:revision>
  <cp:lastPrinted>2021-02-22T16:51:00Z</cp:lastPrinted>
  <dcterms:created xsi:type="dcterms:W3CDTF">2021-05-25T16:26:00Z</dcterms:created>
  <dcterms:modified xsi:type="dcterms:W3CDTF">2021-05-27T12:13:00Z</dcterms:modified>
</cp:coreProperties>
</file>